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9D" w:rsidRDefault="007D569D" w:rsidP="001F0D5C">
      <w:pPr>
        <w:pStyle w:val="Heading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28E854" wp14:editId="5665B68E">
            <wp:simplePos x="0" y="0"/>
            <wp:positionH relativeFrom="column">
              <wp:posOffset>-513715</wp:posOffset>
            </wp:positionH>
            <wp:positionV relativeFrom="paragraph">
              <wp:posOffset>-685165</wp:posOffset>
            </wp:positionV>
            <wp:extent cx="1315082" cy="1143000"/>
            <wp:effectExtent l="0" t="0" r="0" b="0"/>
            <wp:wrapNone/>
            <wp:docPr id="4" name="Picture 4" descr="DM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M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9D" w:rsidRDefault="007D569D" w:rsidP="001F0D5C">
      <w:pPr>
        <w:jc w:val="center"/>
        <w:rPr>
          <w:b/>
          <w:sz w:val="28"/>
          <w:szCs w:val="28"/>
        </w:rPr>
      </w:pPr>
      <w:r w:rsidRPr="00050F0A">
        <w:rPr>
          <w:b/>
          <w:sz w:val="28"/>
          <w:szCs w:val="28"/>
        </w:rPr>
        <w:t xml:space="preserve">Registration Requirements for a </w:t>
      </w:r>
      <w:r w:rsidR="00771A33">
        <w:rPr>
          <w:b/>
          <w:sz w:val="28"/>
          <w:szCs w:val="28"/>
        </w:rPr>
        <w:t xml:space="preserve">Private </w:t>
      </w:r>
      <w:r w:rsidR="004620D1">
        <w:rPr>
          <w:b/>
          <w:sz w:val="28"/>
          <w:szCs w:val="28"/>
        </w:rPr>
        <w:t>Yacht</w:t>
      </w:r>
      <w:r w:rsidRPr="00050F0A">
        <w:rPr>
          <w:b/>
          <w:sz w:val="28"/>
          <w:szCs w:val="28"/>
        </w:rPr>
        <w:t xml:space="preserve"> </w:t>
      </w:r>
    </w:p>
    <w:p w:rsidR="00050F0A" w:rsidRPr="00050F0A" w:rsidRDefault="00050F0A" w:rsidP="001F0D5C">
      <w:pPr>
        <w:rPr>
          <w:b/>
          <w:sz w:val="28"/>
          <w:szCs w:val="28"/>
        </w:rPr>
      </w:pPr>
    </w:p>
    <w:p w:rsidR="007D569D" w:rsidRDefault="007D569D" w:rsidP="001F0D5C"/>
    <w:p w:rsidR="007A1771" w:rsidRDefault="007A1771" w:rsidP="001F0D5C">
      <w:pPr>
        <w:rPr>
          <w:b/>
        </w:rPr>
      </w:pPr>
      <w:r w:rsidRPr="007A1771">
        <w:rPr>
          <w:b/>
        </w:rPr>
        <w:t>Vessel Name _____________________________     Vessel Type</w:t>
      </w:r>
      <w:proofErr w:type="gramStart"/>
      <w:r w:rsidRPr="007A1771">
        <w:rPr>
          <w:b/>
        </w:rPr>
        <w:t>:_</w:t>
      </w:r>
      <w:proofErr w:type="gramEnd"/>
      <w:r w:rsidRPr="007A1771">
        <w:rPr>
          <w:b/>
        </w:rPr>
        <w:t>_________________</w:t>
      </w:r>
    </w:p>
    <w:p w:rsidR="007A1771" w:rsidRPr="007A1771" w:rsidRDefault="007A1771" w:rsidP="001F0D5C">
      <w:pPr>
        <w:rPr>
          <w:b/>
        </w:rPr>
      </w:pPr>
    </w:p>
    <w:p w:rsidR="007A1771" w:rsidRDefault="007A1771" w:rsidP="001F0D5C"/>
    <w:p w:rsidR="00050F0A" w:rsidRPr="00D21957" w:rsidRDefault="007D569D" w:rsidP="001F0D5C">
      <w:pPr>
        <w:rPr>
          <w:b/>
          <w:sz w:val="22"/>
          <w:szCs w:val="22"/>
        </w:rPr>
      </w:pPr>
      <w:r w:rsidRPr="00D21957">
        <w:rPr>
          <w:b/>
          <w:sz w:val="22"/>
          <w:szCs w:val="22"/>
        </w:rPr>
        <w:t>1. LIST OF</w:t>
      </w:r>
      <w:r w:rsidR="00050F0A" w:rsidRPr="00D21957">
        <w:rPr>
          <w:b/>
          <w:sz w:val="22"/>
          <w:szCs w:val="22"/>
        </w:rPr>
        <w:t xml:space="preserve"> PROVISIONAL</w:t>
      </w:r>
      <w:r w:rsidR="000D7D06" w:rsidRPr="00D21957">
        <w:rPr>
          <w:b/>
          <w:sz w:val="22"/>
          <w:szCs w:val="22"/>
        </w:rPr>
        <w:t xml:space="preserve"> REGISTRATION</w:t>
      </w:r>
      <w:r w:rsidRPr="00D21957">
        <w:rPr>
          <w:b/>
          <w:sz w:val="22"/>
          <w:szCs w:val="22"/>
        </w:rPr>
        <w:t xml:space="preserve"> REQUIREMENTS</w:t>
      </w:r>
    </w:p>
    <w:p w:rsidR="007D569D" w:rsidRPr="00D21957" w:rsidRDefault="007D569D" w:rsidP="001F0D5C">
      <w:pPr>
        <w:rPr>
          <w:sz w:val="22"/>
          <w:szCs w:val="22"/>
        </w:rPr>
      </w:pPr>
    </w:p>
    <w:p w:rsidR="007D569D" w:rsidRPr="00D21957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16951416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A1771">
            <w:rPr>
              <w:rFonts w:ascii="MS Mincho" w:eastAsia="MS Mincho" w:hAnsi="MS Mincho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1.1 </w:t>
      </w:r>
      <w:r w:rsidR="007D569D" w:rsidRPr="00D21957">
        <w:rPr>
          <w:sz w:val="22"/>
          <w:szCs w:val="22"/>
        </w:rPr>
        <w:t>Application for Official</w:t>
      </w:r>
      <w:r w:rsidR="004620D1">
        <w:rPr>
          <w:sz w:val="22"/>
          <w:szCs w:val="22"/>
        </w:rPr>
        <w:t xml:space="preserve"> Yacht</w:t>
      </w:r>
      <w:r w:rsidR="007D569D" w:rsidRPr="00D21957">
        <w:rPr>
          <w:sz w:val="22"/>
          <w:szCs w:val="22"/>
        </w:rPr>
        <w:t xml:space="preserve"> Number</w:t>
      </w:r>
      <w:r w:rsidR="004620D1">
        <w:rPr>
          <w:sz w:val="22"/>
          <w:szCs w:val="22"/>
        </w:rPr>
        <w:t xml:space="preserve"> and Call Sign </w:t>
      </w:r>
    </w:p>
    <w:p w:rsidR="007D569D" w:rsidRPr="00D21957" w:rsidRDefault="007D569D" w:rsidP="001F0D5C">
      <w:pPr>
        <w:rPr>
          <w:sz w:val="22"/>
          <w:szCs w:val="22"/>
        </w:rPr>
      </w:pPr>
    </w:p>
    <w:p w:rsidR="007D569D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1186597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1.2 </w:t>
      </w:r>
      <w:r w:rsidR="007D569D" w:rsidRPr="00D21957">
        <w:rPr>
          <w:sz w:val="22"/>
          <w:szCs w:val="22"/>
        </w:rPr>
        <w:t xml:space="preserve">Application for Ship Station License </w:t>
      </w:r>
    </w:p>
    <w:p w:rsidR="0009303A" w:rsidRDefault="0009303A" w:rsidP="001F0D5C">
      <w:pPr>
        <w:rPr>
          <w:sz w:val="22"/>
          <w:szCs w:val="22"/>
        </w:rPr>
      </w:pPr>
    </w:p>
    <w:p w:rsidR="0009303A" w:rsidRPr="00D21957" w:rsidRDefault="00CC31F4" w:rsidP="0009303A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7617355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279E3">
            <w:rPr>
              <w:rFonts w:ascii="MS Mincho" w:eastAsia="MS Mincho" w:hAnsi="MS Mincho" w:hint="eastAsia"/>
              <w:sz w:val="32"/>
              <w:szCs w:val="32"/>
            </w:rPr>
            <w:t>☐</w:t>
          </w:r>
        </w:sdtContent>
      </w:sdt>
      <w:r w:rsidR="0009303A">
        <w:rPr>
          <w:sz w:val="32"/>
          <w:szCs w:val="32"/>
        </w:rPr>
        <w:t xml:space="preserve">  </w:t>
      </w:r>
      <w:r w:rsidR="0009303A">
        <w:rPr>
          <w:sz w:val="22"/>
          <w:szCs w:val="22"/>
        </w:rPr>
        <w:t>1.3 Declaration of Private Use</w:t>
      </w:r>
    </w:p>
    <w:p w:rsidR="007D569D" w:rsidRPr="00D21957" w:rsidRDefault="007D569D" w:rsidP="001F0D5C">
      <w:pPr>
        <w:rPr>
          <w:sz w:val="22"/>
          <w:szCs w:val="22"/>
        </w:rPr>
      </w:pPr>
    </w:p>
    <w:p w:rsidR="007D569D" w:rsidRPr="00D21957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11780008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1.4 </w:t>
      </w:r>
      <w:r w:rsidR="007D569D" w:rsidRPr="00D21957">
        <w:rPr>
          <w:sz w:val="22"/>
          <w:szCs w:val="22"/>
        </w:rPr>
        <w:t>Proof of Ownership</w:t>
      </w:r>
    </w:p>
    <w:p w:rsidR="007D569D" w:rsidRPr="00D21957" w:rsidRDefault="007D569D" w:rsidP="001F0D5C">
      <w:pPr>
        <w:rPr>
          <w:sz w:val="22"/>
          <w:szCs w:val="22"/>
        </w:rPr>
      </w:pPr>
    </w:p>
    <w:p w:rsidR="000D7D06" w:rsidRPr="00D21957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-4552962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1.5 </w:t>
      </w:r>
      <w:r w:rsidR="007D569D" w:rsidRPr="00D21957">
        <w:rPr>
          <w:sz w:val="22"/>
          <w:szCs w:val="22"/>
        </w:rPr>
        <w:t xml:space="preserve">Dominica IBC Application </w:t>
      </w:r>
      <w:r w:rsidR="007D569D" w:rsidRPr="00D21957">
        <w:rPr>
          <w:b/>
          <w:sz w:val="22"/>
          <w:szCs w:val="22"/>
        </w:rPr>
        <w:t>or</w:t>
      </w:r>
      <w:r w:rsidR="007D569D" w:rsidRPr="00D21957">
        <w:rPr>
          <w:sz w:val="22"/>
          <w:szCs w:val="22"/>
        </w:rPr>
        <w:t xml:space="preserve"> Foreign Maritime Entity (FME) Application</w:t>
      </w:r>
    </w:p>
    <w:p w:rsidR="000D7D06" w:rsidRPr="00D21957" w:rsidRDefault="000D7D06" w:rsidP="001F0D5C">
      <w:pPr>
        <w:rPr>
          <w:sz w:val="22"/>
          <w:szCs w:val="22"/>
        </w:rPr>
      </w:pPr>
    </w:p>
    <w:p w:rsidR="007D569D" w:rsidRPr="00D21957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21422963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0D7D06" w:rsidRPr="00D21957">
        <w:rPr>
          <w:sz w:val="22"/>
          <w:szCs w:val="22"/>
        </w:rPr>
        <w:t xml:space="preserve">  </w:t>
      </w:r>
      <w:r w:rsidR="00DF0A2A" w:rsidRPr="00D21957">
        <w:rPr>
          <w:sz w:val="22"/>
          <w:szCs w:val="22"/>
        </w:rPr>
        <w:t xml:space="preserve">1.6 </w:t>
      </w:r>
      <w:r w:rsidR="000D7D06" w:rsidRPr="00D21957">
        <w:rPr>
          <w:sz w:val="22"/>
          <w:szCs w:val="22"/>
        </w:rPr>
        <w:t xml:space="preserve">Evidence of Authority to Sign Registration Applications (usually a Power of Attorney) </w:t>
      </w:r>
      <w:r w:rsidR="007D569D" w:rsidRPr="00D21957">
        <w:rPr>
          <w:sz w:val="22"/>
          <w:szCs w:val="22"/>
        </w:rPr>
        <w:t xml:space="preserve"> </w:t>
      </w:r>
    </w:p>
    <w:p w:rsidR="000D7D06" w:rsidRPr="00D21957" w:rsidRDefault="000D7D06" w:rsidP="001F0D5C">
      <w:pPr>
        <w:rPr>
          <w:sz w:val="22"/>
          <w:szCs w:val="22"/>
        </w:rPr>
      </w:pPr>
    </w:p>
    <w:p w:rsidR="00122947" w:rsidRDefault="00CC31F4" w:rsidP="001F0D5C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8543857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 w:rsidRP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AC1224">
        <w:rPr>
          <w:sz w:val="32"/>
          <w:szCs w:val="32"/>
        </w:rPr>
        <w:t xml:space="preserve">  </w:t>
      </w:r>
      <w:r w:rsidR="0009303A">
        <w:rPr>
          <w:sz w:val="22"/>
          <w:szCs w:val="22"/>
        </w:rPr>
        <w:t>1.8</w:t>
      </w:r>
      <w:r w:rsidR="00AC1224">
        <w:rPr>
          <w:sz w:val="22"/>
          <w:szCs w:val="22"/>
        </w:rPr>
        <w:t xml:space="preserve"> Tonnage Certificate</w:t>
      </w:r>
    </w:p>
    <w:p w:rsidR="00122947" w:rsidRDefault="00122947" w:rsidP="001F0D5C">
      <w:pPr>
        <w:rPr>
          <w:sz w:val="22"/>
          <w:szCs w:val="22"/>
        </w:rPr>
      </w:pPr>
    </w:p>
    <w:p w:rsidR="00122947" w:rsidRPr="00D21957" w:rsidRDefault="00CC31F4" w:rsidP="0012294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205532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22947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122947">
        <w:rPr>
          <w:rFonts w:ascii="Times New Roman" w:hAnsi="Times New Roman" w:cs="Times New Roman"/>
          <w:bCs/>
          <w:sz w:val="22"/>
          <w:szCs w:val="22"/>
        </w:rPr>
        <w:t xml:space="preserve">  1.9</w:t>
      </w:r>
      <w:r w:rsidR="00122947" w:rsidRPr="00D21957">
        <w:rPr>
          <w:rFonts w:ascii="Times New Roman" w:hAnsi="Times New Roman" w:cs="Times New Roman"/>
          <w:bCs/>
          <w:sz w:val="22"/>
          <w:szCs w:val="22"/>
        </w:rPr>
        <w:t xml:space="preserve"> Copy of Classification</w:t>
      </w:r>
      <w:r w:rsidR="00122947">
        <w:rPr>
          <w:rFonts w:ascii="Times New Roman" w:hAnsi="Times New Roman" w:cs="Times New Roman"/>
          <w:bCs/>
          <w:sz w:val="22"/>
          <w:szCs w:val="22"/>
        </w:rPr>
        <w:t xml:space="preserve"> and/or Statutory</w:t>
      </w:r>
      <w:r w:rsidR="00122947" w:rsidRPr="00D21957">
        <w:rPr>
          <w:rFonts w:ascii="Times New Roman" w:hAnsi="Times New Roman" w:cs="Times New Roman"/>
          <w:bCs/>
          <w:sz w:val="22"/>
          <w:szCs w:val="22"/>
        </w:rPr>
        <w:t xml:space="preserve"> Certificates (if applicable)</w:t>
      </w:r>
    </w:p>
    <w:p w:rsidR="00050F0A" w:rsidRPr="00D21957" w:rsidRDefault="00050F0A" w:rsidP="001F0D5C">
      <w:pPr>
        <w:rPr>
          <w:sz w:val="22"/>
          <w:szCs w:val="22"/>
        </w:rPr>
      </w:pPr>
    </w:p>
    <w:p w:rsidR="007A1771" w:rsidRDefault="00CC31F4" w:rsidP="007A1771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8906907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="00982444" w:rsidRPr="00D21957">
        <w:rPr>
          <w:sz w:val="22"/>
          <w:szCs w:val="22"/>
        </w:rPr>
        <w:t xml:space="preserve">  </w:t>
      </w:r>
      <w:r w:rsidR="0009303A">
        <w:rPr>
          <w:sz w:val="22"/>
          <w:szCs w:val="22"/>
        </w:rPr>
        <w:t>1.</w:t>
      </w:r>
      <w:r w:rsidR="00122947">
        <w:rPr>
          <w:sz w:val="22"/>
          <w:szCs w:val="22"/>
        </w:rPr>
        <w:t>10</w:t>
      </w:r>
      <w:r w:rsidR="00DF0A2A" w:rsidRPr="00D21957">
        <w:rPr>
          <w:sz w:val="22"/>
          <w:szCs w:val="22"/>
        </w:rPr>
        <w:t xml:space="preserve"> </w:t>
      </w:r>
      <w:r w:rsidR="00050F0A" w:rsidRPr="00D21957">
        <w:rPr>
          <w:sz w:val="22"/>
          <w:szCs w:val="22"/>
        </w:rPr>
        <w:t xml:space="preserve">Payment of Registration Fees </w:t>
      </w:r>
    </w:p>
    <w:p w:rsidR="0009303A" w:rsidRPr="00D21957" w:rsidRDefault="0009303A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DF0A2A" w:rsidRPr="00D21957" w:rsidRDefault="0009303A" w:rsidP="001F0D5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82444"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. LIST OF REGISTRATION REQUIREMENTS FOR PERMENANT REGISTRATION </w:t>
      </w:r>
    </w:p>
    <w:p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A497B" w:rsidRPr="00D21957" w:rsidRDefault="00CC31F4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1295026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.1 Deletion Certificate from Previous Flag </w:t>
      </w:r>
    </w:p>
    <w:p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A497B" w:rsidRPr="00D21957" w:rsidRDefault="00CC31F4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12211008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.2 Completed Carving and Markings Note </w:t>
      </w:r>
    </w:p>
    <w:p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A497B" w:rsidRDefault="00CC31F4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sdt>
        <w:sdtPr>
          <w:rPr>
            <w:rFonts w:ascii="Times New Roman" w:hAnsi="Times New Roman" w:cs="Times New Roman"/>
            <w:bCs/>
            <w:sz w:val="32"/>
            <w:szCs w:val="32"/>
          </w:rPr>
          <w:id w:val="-20260865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C1224">
            <w:rPr>
              <w:rFonts w:ascii="MS Gothic" w:eastAsia="MS Gothic" w:hAnsi="Times New Roman" w:cs="Times New Roman" w:hint="eastAsia"/>
              <w:bCs/>
              <w:sz w:val="32"/>
              <w:szCs w:val="32"/>
            </w:rPr>
            <w:t>☐</w:t>
          </w:r>
        </w:sdtContent>
      </w:sdt>
      <w:r w:rsidR="0009303A">
        <w:rPr>
          <w:rFonts w:ascii="Times New Roman" w:hAnsi="Times New Roman" w:cs="Times New Roman"/>
          <w:bCs/>
          <w:sz w:val="22"/>
          <w:szCs w:val="22"/>
        </w:rPr>
        <w:t xml:space="preserve">  2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.3 </w:t>
      </w:r>
      <w:r w:rsidR="00E00B34">
        <w:rPr>
          <w:rFonts w:ascii="Times New Roman" w:hAnsi="Times New Roman" w:cs="Times New Roman"/>
          <w:bCs/>
          <w:sz w:val="22"/>
          <w:szCs w:val="22"/>
        </w:rPr>
        <w:t xml:space="preserve">Vessel and Owner </w:t>
      </w:r>
      <w:r w:rsidR="00BA497B" w:rsidRPr="00D21957">
        <w:rPr>
          <w:rFonts w:ascii="Times New Roman" w:hAnsi="Times New Roman" w:cs="Times New Roman"/>
          <w:bCs/>
          <w:sz w:val="22"/>
          <w:szCs w:val="22"/>
        </w:rPr>
        <w:t xml:space="preserve">Contact Sheet </w:t>
      </w:r>
    </w:p>
    <w:p w:rsidR="007A1771" w:rsidRDefault="007A1771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A1771" w:rsidRDefault="007A1771" w:rsidP="007A1771">
      <w:pPr>
        <w:rPr>
          <w:sz w:val="22"/>
          <w:szCs w:val="22"/>
        </w:rPr>
      </w:pPr>
      <w:sdt>
        <w:sdtPr>
          <w:rPr>
            <w:sz w:val="32"/>
            <w:szCs w:val="32"/>
          </w:rPr>
          <w:id w:val="123658905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 w:rsidRPr="00D21957">
        <w:rPr>
          <w:sz w:val="22"/>
          <w:szCs w:val="22"/>
        </w:rPr>
        <w:t xml:space="preserve">  </w:t>
      </w:r>
      <w:r>
        <w:rPr>
          <w:sz w:val="22"/>
          <w:szCs w:val="22"/>
        </w:rPr>
        <w:t>2</w:t>
      </w:r>
      <w:r w:rsidRPr="00D21957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D21957">
        <w:rPr>
          <w:sz w:val="22"/>
          <w:szCs w:val="22"/>
        </w:rPr>
        <w:t xml:space="preserve"> Proof of Liability Insurance (P&amp;I Cover note)</w:t>
      </w:r>
    </w:p>
    <w:p w:rsidR="007A1771" w:rsidRPr="00D21957" w:rsidRDefault="007A1771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A497B" w:rsidRPr="00D21957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BA497B" w:rsidRDefault="00BA497B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122947" w:rsidRDefault="0012294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122947" w:rsidRPr="00D21957" w:rsidRDefault="0012294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71BCD" w:rsidRPr="00D21957" w:rsidRDefault="00771BC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26567" w:rsidRPr="00D21957" w:rsidRDefault="00926567" w:rsidP="00B040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1957">
        <w:rPr>
          <w:rFonts w:ascii="Times New Roman" w:hAnsi="Times New Roman" w:cs="Times New Roman"/>
          <w:b/>
          <w:bCs/>
          <w:sz w:val="22"/>
          <w:szCs w:val="22"/>
        </w:rPr>
        <w:t>EXPLANATION OF</w:t>
      </w:r>
      <w:r w:rsidR="00F234BF"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 PROVISIONAL</w:t>
      </w:r>
      <w:r w:rsidRPr="00D21957">
        <w:rPr>
          <w:rFonts w:ascii="Times New Roman" w:hAnsi="Times New Roman" w:cs="Times New Roman"/>
          <w:b/>
          <w:bCs/>
          <w:sz w:val="22"/>
          <w:szCs w:val="22"/>
        </w:rPr>
        <w:t xml:space="preserve"> REGISTRATION REQUIREMENTS</w:t>
      </w:r>
    </w:p>
    <w:p w:rsidR="00926567" w:rsidRPr="00D21957" w:rsidRDefault="00926567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26567" w:rsidRPr="00D21957" w:rsidRDefault="00926567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1.1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0D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1957">
        <w:rPr>
          <w:rFonts w:ascii="Times New Roman" w:hAnsi="Times New Roman" w:cs="Times New Roman"/>
          <w:bCs/>
          <w:sz w:val="22"/>
          <w:szCs w:val="22"/>
        </w:rPr>
        <w:t>One (1) duly signed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and acknowledged Application for Official </w:t>
      </w:r>
      <w:r w:rsidR="00353CCE">
        <w:rPr>
          <w:rFonts w:ascii="Times New Roman" w:hAnsi="Times New Roman" w:cs="Times New Roman"/>
          <w:bCs/>
          <w:sz w:val="22"/>
          <w:szCs w:val="22"/>
        </w:rPr>
        <w:t xml:space="preserve">Yacht 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Number and Call Sign (Form CDVR-2001</w:t>
      </w:r>
      <w:r w:rsidR="00353CCE">
        <w:rPr>
          <w:rFonts w:ascii="Times New Roman" w:hAnsi="Times New Roman" w:cs="Times New Roman"/>
          <w:bCs/>
          <w:sz w:val="22"/>
          <w:szCs w:val="22"/>
        </w:rPr>
        <w:t>Y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)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must be received.  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>This form should be completed to the greatest extent possible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.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E5E6D" w:rsidRPr="00D21957" w:rsidRDefault="001E5E6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1E5E6D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1.2  </w:t>
      </w:r>
      <w:r w:rsidR="002A7773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One (1) duly signed and acknowledged Application for Ship Station License (Form CDVR-2004) must be received for </w:t>
      </w:r>
      <w:r w:rsidR="00353CCE">
        <w:rPr>
          <w:rFonts w:ascii="Times New Roman" w:hAnsi="Times New Roman" w:cs="Times New Roman"/>
          <w:bCs/>
          <w:sz w:val="22"/>
          <w:szCs w:val="22"/>
        </w:rPr>
        <w:t>yachts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wishing to be issued a Ship Station License.  This 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application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should be completed to the greatest extent possible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>.</w:t>
      </w: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1E5E6D" w:rsidRPr="00D21957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1.3    One (1) duly signed and acknowledged Declaration of Private Use (CDVR-2030Y)</w:t>
      </w:r>
      <w:r w:rsidR="001E5E6D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must be received for all private yachts.  </w:t>
      </w:r>
    </w:p>
    <w:p w:rsidR="001E5E6D" w:rsidRPr="00D21957" w:rsidRDefault="001E5E6D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E5CB5" w:rsidRPr="00D21957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1.4</w:t>
      </w:r>
      <w:r w:rsidR="00403316" w:rsidRPr="00D21957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One (1) duly executed and acknowledged Bill of Sale transferring title to the applicant is required to satisfy proof of ownership.  If </w:t>
      </w:r>
      <w:r>
        <w:rPr>
          <w:rFonts w:ascii="Times New Roman" w:hAnsi="Times New Roman" w:cs="Times New Roman"/>
          <w:bCs/>
          <w:sz w:val="22"/>
          <w:szCs w:val="22"/>
        </w:rPr>
        <w:t>registration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 occurs without a change of ownership than a Certificate of Ownership or Transcript of Registry from the previous flag administration should be submitted to satisfy proof of ownership.  In the event a </w:t>
      </w:r>
      <w:r>
        <w:rPr>
          <w:rFonts w:ascii="Times New Roman" w:hAnsi="Times New Roman" w:cs="Times New Roman"/>
          <w:bCs/>
          <w:sz w:val="22"/>
          <w:szCs w:val="22"/>
        </w:rPr>
        <w:t>yacht</w:t>
      </w:r>
      <w:r w:rsidR="00FE5CB5" w:rsidRPr="00D21957">
        <w:rPr>
          <w:rFonts w:ascii="Times New Roman" w:hAnsi="Times New Roman" w:cs="Times New Roman"/>
          <w:bCs/>
          <w:sz w:val="22"/>
          <w:szCs w:val="22"/>
        </w:rPr>
        <w:t xml:space="preserve"> is purchased via judicial sale then a document issued by the Court indicating the transfer of title should be obtained. </w:t>
      </w:r>
    </w:p>
    <w:p w:rsidR="00FE5CB5" w:rsidRPr="00D21957" w:rsidRDefault="00FE5CB5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F66BB8" w:rsidRPr="00D21957" w:rsidRDefault="00FE5CB5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1.5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>A Dominica vessel may be owned by either a foreign company registered as a Foreign Maritime Entity (FME) or a Dominica International Business Company (IBC)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>.  For v</w:t>
      </w:r>
      <w:r w:rsidR="00E00B34">
        <w:rPr>
          <w:rFonts w:ascii="Times New Roman" w:hAnsi="Times New Roman" w:cs="Times New Roman"/>
          <w:bCs/>
          <w:sz w:val="22"/>
          <w:szCs w:val="22"/>
        </w:rPr>
        <w:t>essels wishing to be owned by a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 xml:space="preserve"> FME a FME Application (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Form </w:t>
      </w:r>
      <w:r w:rsidR="00F66BB8" w:rsidRPr="00D21957">
        <w:rPr>
          <w:rFonts w:ascii="Times New Roman" w:hAnsi="Times New Roman" w:cs="Times New Roman"/>
          <w:bCs/>
          <w:sz w:val="22"/>
          <w:szCs w:val="22"/>
        </w:rPr>
        <w:t xml:space="preserve">CDVR-2003) should be submitted.  </w:t>
      </w:r>
    </w:p>
    <w:p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FE5CB5" w:rsidRPr="00D21957" w:rsidRDefault="00F66BB8" w:rsidP="001F0D5C">
      <w:pPr>
        <w:pStyle w:val="Default"/>
        <w:ind w:left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Owners wishing to form a new owning company may submit </w:t>
      </w:r>
      <w:proofErr w:type="gramStart"/>
      <w:r w:rsidRPr="00D21957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Pr="00D21957">
        <w:rPr>
          <w:rFonts w:ascii="Times New Roman" w:hAnsi="Times New Roman" w:cs="Times New Roman"/>
          <w:bCs/>
          <w:sz w:val="22"/>
          <w:szCs w:val="22"/>
        </w:rPr>
        <w:t xml:space="preserve"> Application for Dominica IBC (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Form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CDVR-2003A) and the Office of Maritime Affairs will be able to establish the new Dominica IBC within 48 hours.  </w:t>
      </w:r>
    </w:p>
    <w:p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F66BB8" w:rsidRPr="00D21957" w:rsidRDefault="00F66BB8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1.6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The individual signing the registration applications must provide proof of authority to sign on behalf of the owning company. </w:t>
      </w:r>
      <w:r w:rsidR="00F234BF" w:rsidRPr="00D21957">
        <w:rPr>
          <w:rFonts w:ascii="Times New Roman" w:hAnsi="Times New Roman" w:cs="Times New Roman"/>
          <w:bCs/>
          <w:sz w:val="22"/>
          <w:szCs w:val="22"/>
        </w:rPr>
        <w:t xml:space="preserve"> The applicant should provide either a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Power of Attorney, Corporate Resolution granting authority or hold a majority interest in the company shown in the owning company’s Articles of Incorporation.  </w:t>
      </w: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C1224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1.8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 A Tonnage Certificate must be provided for registration of all vessels.</w:t>
      </w: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Pr="00D21957" w:rsidRDefault="00353CCE" w:rsidP="00353CCE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1.9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A copy of the vessels Classification certificates are retained by the Maritime Administration and may be submitted by either the owner or Classification society.  </w:t>
      </w: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353CCE" w:rsidRDefault="00353CC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C1224" w:rsidRDefault="00AC122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F66BB8" w:rsidRDefault="00F234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E00B34" w:rsidRPr="00D21957" w:rsidRDefault="00E00B34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A02CB8" w:rsidRPr="00D21957" w:rsidRDefault="00060786" w:rsidP="001F0D5C">
      <w:pPr>
        <w:pStyle w:val="Default"/>
        <w:ind w:left="540" w:hanging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EXPLANATION OF PERMANE</w:t>
      </w:r>
      <w:r w:rsidR="00A02CB8" w:rsidRPr="00D21957">
        <w:rPr>
          <w:rFonts w:ascii="Times New Roman" w:hAnsi="Times New Roman" w:cs="Times New Roman"/>
          <w:b/>
          <w:bCs/>
          <w:sz w:val="22"/>
          <w:szCs w:val="22"/>
        </w:rPr>
        <w:t>NT REGISTRATION REQUIREMENTS</w:t>
      </w:r>
    </w:p>
    <w:p w:rsidR="00F66BB8" w:rsidRPr="00D21957" w:rsidRDefault="00F66BB8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403316" w:rsidRPr="00D21957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.1  </w:t>
      </w:r>
      <w:r w:rsidR="00AC1224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The Dominica Maritime </w:t>
      </w:r>
      <w:r w:rsidR="000A08CC">
        <w:rPr>
          <w:rFonts w:ascii="Times New Roman" w:hAnsi="Times New Roman" w:cs="Times New Roman"/>
          <w:bCs/>
          <w:sz w:val="22"/>
          <w:szCs w:val="22"/>
        </w:rPr>
        <w:t>Administration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 must receive a deletion certificate from the previous flag before permanent registration.  </w:t>
      </w:r>
    </w:p>
    <w:p w:rsidR="00A02CB8" w:rsidRPr="00D21957" w:rsidRDefault="00A02CB8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013BF" w:rsidRPr="00D21957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.2 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0D5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>T</w:t>
      </w:r>
      <w:r w:rsidR="000C4BBE" w:rsidRPr="00D21957">
        <w:rPr>
          <w:rFonts w:ascii="Times New Roman" w:hAnsi="Times New Roman" w:cs="Times New Roman"/>
          <w:bCs/>
          <w:sz w:val="22"/>
          <w:szCs w:val="22"/>
        </w:rPr>
        <w:t xml:space="preserve">he Official Number and port of registry must be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marked upon each bow and </w:t>
      </w:r>
      <w:r w:rsidR="003869F0">
        <w:rPr>
          <w:rFonts w:ascii="Times New Roman" w:hAnsi="Times New Roman" w:cs="Times New Roman"/>
          <w:bCs/>
          <w:sz w:val="22"/>
          <w:szCs w:val="22"/>
        </w:rPr>
        <w:t>the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stern of the </w:t>
      </w:r>
      <w:r w:rsidR="00353CCE">
        <w:rPr>
          <w:rFonts w:ascii="Times New Roman" w:hAnsi="Times New Roman" w:cs="Times New Roman"/>
          <w:bCs/>
          <w:sz w:val="22"/>
          <w:szCs w:val="22"/>
        </w:rPr>
        <w:t>yacht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 and this is certified by the vessel’s Captain or an authorized surveyor on the </w:t>
      </w:r>
      <w:r w:rsidR="00A02CB8" w:rsidRPr="00D21957">
        <w:rPr>
          <w:rFonts w:ascii="Times New Roman" w:hAnsi="Times New Roman" w:cs="Times New Roman"/>
          <w:bCs/>
          <w:sz w:val="22"/>
          <w:szCs w:val="22"/>
        </w:rPr>
        <w:t xml:space="preserve">Carving and Marking Note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>(Form CDVR-2002) in accordance with the Dominica Maritime Act.</w:t>
      </w:r>
    </w:p>
    <w:p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7013BF" w:rsidRDefault="00713CFE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.3  </w:t>
      </w:r>
      <w:r w:rsidR="003869F0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7013BF" w:rsidRPr="00D21957">
        <w:rPr>
          <w:rFonts w:ascii="Times New Roman" w:hAnsi="Times New Roman" w:cs="Times New Roman"/>
          <w:bCs/>
          <w:sz w:val="22"/>
          <w:szCs w:val="22"/>
        </w:rPr>
        <w:t xml:space="preserve">The Contact Sheet must be completed and submitted before permanent registration.  </w:t>
      </w:r>
    </w:p>
    <w:p w:rsidR="007A1771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7A1771" w:rsidRDefault="007A1771" w:rsidP="007A1771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2.4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Vessels entering into the Dominica Maritime </w:t>
      </w:r>
      <w:r>
        <w:rPr>
          <w:rFonts w:ascii="Times New Roman" w:hAnsi="Times New Roman" w:cs="Times New Roman"/>
          <w:bCs/>
          <w:sz w:val="22"/>
          <w:szCs w:val="22"/>
        </w:rPr>
        <w:t>Administration</w:t>
      </w:r>
      <w:r w:rsidRPr="00D21957">
        <w:rPr>
          <w:rFonts w:ascii="Times New Roman" w:hAnsi="Times New Roman" w:cs="Times New Roman"/>
          <w:bCs/>
          <w:sz w:val="22"/>
          <w:szCs w:val="22"/>
        </w:rPr>
        <w:t xml:space="preserve"> must provide proof of insurance for hull and machinery, as well as coverage for crew repatriation obligations.  Proof of insurance may be submitted in the form of a P&amp;I cover note, Certificate of Entry or Confirmation of Entry. </w:t>
      </w:r>
    </w:p>
    <w:p w:rsidR="007A1771" w:rsidRPr="00D21957" w:rsidRDefault="007A1771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7013BF" w:rsidRPr="00D21957" w:rsidRDefault="007013BF" w:rsidP="001F0D5C">
      <w:pPr>
        <w:pStyle w:val="Default"/>
        <w:ind w:left="540" w:hanging="540"/>
        <w:rPr>
          <w:rFonts w:ascii="Times New Roman" w:hAnsi="Times New Roman" w:cs="Times New Roman"/>
          <w:bCs/>
          <w:sz w:val="22"/>
          <w:szCs w:val="22"/>
        </w:rPr>
      </w:pPr>
    </w:p>
    <w:p w:rsidR="00DF0A2A" w:rsidRDefault="00DF0A2A" w:rsidP="001F0D5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3F4958" w:rsidRPr="00D21957" w:rsidRDefault="003F4958" w:rsidP="001F0D5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24190" w:rsidRPr="00D21957" w:rsidRDefault="00C24190" w:rsidP="001F0D5C">
      <w:pPr>
        <w:pStyle w:val="BodyText2"/>
        <w:jc w:val="left"/>
        <w:rPr>
          <w:b w:val="0"/>
          <w:bCs w:val="0"/>
          <w:szCs w:val="22"/>
        </w:rPr>
      </w:pPr>
    </w:p>
    <w:p w:rsidR="00C24190" w:rsidRPr="00D21957" w:rsidRDefault="00C24190" w:rsidP="001F0D5C">
      <w:pPr>
        <w:autoSpaceDE w:val="0"/>
        <w:autoSpaceDN w:val="0"/>
        <w:adjustRightInd w:val="0"/>
        <w:ind w:left="3600"/>
        <w:rPr>
          <w:b/>
          <w:bCs/>
          <w:sz w:val="22"/>
          <w:szCs w:val="22"/>
        </w:rPr>
      </w:pPr>
      <w:r w:rsidRPr="00D21957">
        <w:rPr>
          <w:b/>
          <w:bCs/>
          <w:sz w:val="22"/>
          <w:szCs w:val="22"/>
        </w:rPr>
        <w:t xml:space="preserve">         -End-</w:t>
      </w:r>
    </w:p>
    <w:sectPr w:rsidR="00C24190" w:rsidRPr="00D21957" w:rsidSect="00D75BE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F4" w:rsidRDefault="00CC31F4">
      <w:r>
        <w:separator/>
      </w:r>
    </w:p>
  </w:endnote>
  <w:endnote w:type="continuationSeparator" w:id="0">
    <w:p w:rsidR="00CC31F4" w:rsidRDefault="00CC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64" w:rsidRDefault="00A54564">
    <w:pPr>
      <w:autoSpaceDE w:val="0"/>
      <w:autoSpaceDN w:val="0"/>
      <w:adjustRightInd w:val="0"/>
      <w:jc w:val="center"/>
      <w:rPr>
        <w:b/>
        <w:bCs/>
        <w:color w:val="000000"/>
        <w:sz w:val="18"/>
        <w:szCs w:val="20"/>
      </w:rPr>
    </w:pPr>
  </w:p>
  <w:p w:rsidR="00A54564" w:rsidRDefault="00A54564">
    <w:pPr>
      <w:autoSpaceDE w:val="0"/>
      <w:autoSpaceDN w:val="0"/>
      <w:adjustRightInd w:val="0"/>
      <w:jc w:val="center"/>
      <w:rPr>
        <w:b/>
        <w:bCs/>
        <w:color w:val="000000"/>
        <w:sz w:val="20"/>
        <w:szCs w:val="16"/>
      </w:rPr>
    </w:pPr>
    <w:r>
      <w:rPr>
        <w:b/>
        <w:bCs/>
        <w:color w:val="000000"/>
        <w:sz w:val="20"/>
        <w:szCs w:val="20"/>
      </w:rPr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279E3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 w:rsidR="00566572">
      <w:rPr>
        <w:rStyle w:val="PageNumber"/>
        <w:b/>
        <w:bCs/>
        <w:sz w:val="20"/>
      </w:rPr>
      <w:t xml:space="preserve"> </w:t>
    </w:r>
    <w:r>
      <w:rPr>
        <w:b/>
        <w:bCs/>
        <w:color w:val="000000"/>
        <w:sz w:val="20"/>
        <w:szCs w:val="20"/>
      </w:rPr>
      <w:t xml:space="preserve">of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NUMPAGES </w:instrText>
    </w:r>
    <w:r>
      <w:rPr>
        <w:rStyle w:val="PageNumber"/>
        <w:b/>
        <w:bCs/>
        <w:sz w:val="20"/>
      </w:rPr>
      <w:fldChar w:fldCharType="separate"/>
    </w:r>
    <w:r w:rsidR="004279E3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</w:p>
  <w:p w:rsidR="00A54564" w:rsidRDefault="00A54564">
    <w:pPr>
      <w:autoSpaceDE w:val="0"/>
      <w:autoSpaceDN w:val="0"/>
      <w:adjustRightInd w:val="0"/>
      <w:jc w:val="center"/>
      <w:rPr>
        <w:color w:val="000000"/>
        <w:sz w:val="18"/>
        <w:szCs w:val="18"/>
      </w:rPr>
    </w:pPr>
    <w:r>
      <w:rPr>
        <w:color w:val="000000"/>
        <w:sz w:val="18"/>
        <w:szCs w:val="16"/>
      </w:rPr>
      <w:t>I</w:t>
    </w:r>
    <w:r>
      <w:rPr>
        <w:color w:val="000000"/>
        <w:sz w:val="18"/>
        <w:szCs w:val="18"/>
      </w:rPr>
      <w:t xml:space="preserve">nquiries concerning the subject of this </w:t>
    </w:r>
    <w:r w:rsidR="00A02CB8">
      <w:rPr>
        <w:color w:val="000000"/>
        <w:sz w:val="18"/>
        <w:szCs w:val="18"/>
      </w:rPr>
      <w:t>guideline</w:t>
    </w:r>
    <w:r>
      <w:rPr>
        <w:color w:val="000000"/>
        <w:sz w:val="18"/>
        <w:szCs w:val="18"/>
      </w:rPr>
      <w:t xml:space="preserve"> should be directed to the </w:t>
    </w:r>
    <w:r w:rsidR="00A02CB8">
      <w:rPr>
        <w:color w:val="000000"/>
        <w:sz w:val="18"/>
        <w:szCs w:val="18"/>
      </w:rPr>
      <w:t>Office of Maritime Affairs</w:t>
    </w:r>
  </w:p>
  <w:p w:rsidR="00A54564" w:rsidRDefault="00CC31F4">
    <w:pPr>
      <w:pStyle w:val="Footer"/>
      <w:jc w:val="center"/>
      <w:rPr>
        <w:rFonts w:ascii="TimesNewRomanPS-ItalicMT" w:hAnsi="TimesNewRomanPS-ItalicMT"/>
        <w:i/>
        <w:iCs/>
        <w:color w:val="0000FF"/>
        <w:sz w:val="18"/>
        <w:szCs w:val="18"/>
      </w:rPr>
    </w:pPr>
    <w:hyperlink r:id="rId1" w:history="1">
      <w:r w:rsidR="00050F0A" w:rsidRPr="001B2F6F">
        <w:rPr>
          <w:rStyle w:val="Hyperlink"/>
          <w:rFonts w:ascii="TimesNewRomanPS-ItalicMT" w:hAnsi="TimesNewRomanPS-ItalicMT"/>
          <w:i/>
          <w:iCs/>
          <w:sz w:val="18"/>
          <w:szCs w:val="18"/>
        </w:rPr>
        <w:t>registration@dominica-registry.com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F4" w:rsidRDefault="00CC31F4">
      <w:r>
        <w:separator/>
      </w:r>
    </w:p>
  </w:footnote>
  <w:footnote w:type="continuationSeparator" w:id="0">
    <w:p w:rsidR="00CC31F4" w:rsidRDefault="00CC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36" w:rsidRDefault="00050936" w:rsidP="00771BC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</w:t>
    </w:r>
    <w:r w:rsidR="004620D1">
      <w:rPr>
        <w:sz w:val="22"/>
        <w:szCs w:val="22"/>
      </w:rPr>
      <w:t>DVR-6002</w:t>
    </w:r>
    <w:r>
      <w:rPr>
        <w:sz w:val="22"/>
        <w:szCs w:val="22"/>
      </w:rPr>
      <w:t xml:space="preserve"> Rev01</w:t>
    </w:r>
  </w:p>
  <w:p w:rsidR="00771BCD" w:rsidRPr="00771BCD" w:rsidRDefault="00771BCD" w:rsidP="00771BCD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73" w:rsidRDefault="002A7773" w:rsidP="002A7773">
    <w:pPr>
      <w:pStyle w:val="Heading2"/>
      <w:ind w:left="0" w:firstLine="0"/>
      <w:jc w:val="center"/>
    </w:pPr>
    <w:smartTag w:uri="urn:schemas-microsoft-com:office:smarttags" w:element="PlaceType">
      <w:r w:rsidRPr="00E214A4">
        <w:t>Commonwealth</w:t>
      </w:r>
    </w:smartTag>
    <w:r w:rsidRPr="00E214A4">
      <w:t xml:space="preserve"> of Dominica</w:t>
    </w:r>
  </w:p>
  <w:p w:rsidR="002A7773" w:rsidRDefault="002A7773" w:rsidP="002A7773">
    <w:pPr>
      <w:pStyle w:val="Heading1"/>
    </w:pPr>
    <w:r w:rsidRPr="00E214A4">
      <w:t>Office of the Maritime Administrator</w:t>
    </w:r>
  </w:p>
  <w:p w:rsidR="002A7773" w:rsidRDefault="002A7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27E9A6"/>
    <w:multiLevelType w:val="hybridMultilevel"/>
    <w:tmpl w:val="C9B0F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B6610"/>
    <w:multiLevelType w:val="hybridMultilevel"/>
    <w:tmpl w:val="4914E532"/>
    <w:lvl w:ilvl="0" w:tplc="37DEA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91F60"/>
    <w:multiLevelType w:val="hybridMultilevel"/>
    <w:tmpl w:val="6400DA52"/>
    <w:lvl w:ilvl="0" w:tplc="80A24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064C"/>
    <w:multiLevelType w:val="hybridMultilevel"/>
    <w:tmpl w:val="4BCE73A8"/>
    <w:lvl w:ilvl="0" w:tplc="246003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03528"/>
    <w:multiLevelType w:val="hybridMultilevel"/>
    <w:tmpl w:val="C19AD744"/>
    <w:lvl w:ilvl="0" w:tplc="FA2CF330">
      <w:start w:val="1"/>
      <w:numFmt w:val="decimal"/>
      <w:pStyle w:val="Heading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7FF12"/>
    <w:multiLevelType w:val="hybridMultilevel"/>
    <w:tmpl w:val="50BC6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D83CC0"/>
    <w:multiLevelType w:val="hybridMultilevel"/>
    <w:tmpl w:val="82DE0BC0"/>
    <w:lvl w:ilvl="0" w:tplc="05F4B0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65196"/>
    <w:multiLevelType w:val="hybridMultilevel"/>
    <w:tmpl w:val="75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1D47"/>
    <w:multiLevelType w:val="hybridMultilevel"/>
    <w:tmpl w:val="9D66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01E8"/>
    <w:multiLevelType w:val="multilevel"/>
    <w:tmpl w:val="AEFEFC9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494A6A39"/>
    <w:multiLevelType w:val="hybridMultilevel"/>
    <w:tmpl w:val="F0AEECAE"/>
    <w:lvl w:ilvl="0" w:tplc="63FC2C9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31942"/>
    <w:multiLevelType w:val="hybridMultilevel"/>
    <w:tmpl w:val="EAA8EB72"/>
    <w:lvl w:ilvl="0" w:tplc="DF36AEC2">
      <w:start w:val="1"/>
      <w:numFmt w:val="decimal"/>
      <w:lvlText w:val="%1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B06E1"/>
    <w:multiLevelType w:val="hybridMultilevel"/>
    <w:tmpl w:val="C4A47E20"/>
    <w:lvl w:ilvl="0" w:tplc="D9067A78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4216A"/>
    <w:multiLevelType w:val="hybridMultilevel"/>
    <w:tmpl w:val="1A464DDC"/>
    <w:lvl w:ilvl="0" w:tplc="1FE86B32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D7F275B"/>
    <w:multiLevelType w:val="hybridMultilevel"/>
    <w:tmpl w:val="B31A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170D"/>
    <w:multiLevelType w:val="hybridMultilevel"/>
    <w:tmpl w:val="A3F45A00"/>
    <w:lvl w:ilvl="0" w:tplc="A51A4222">
      <w:start w:val="1"/>
      <w:numFmt w:val="decimal"/>
      <w:lvlText w:val="%1"/>
      <w:lvlJc w:val="left"/>
      <w:pPr>
        <w:ind w:left="1140" w:hanging="78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21AA2"/>
    <w:multiLevelType w:val="hybridMultilevel"/>
    <w:tmpl w:val="AE7C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9C1"/>
    <w:multiLevelType w:val="hybridMultilevel"/>
    <w:tmpl w:val="52D88408"/>
    <w:lvl w:ilvl="0" w:tplc="87E0322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81432"/>
    <w:multiLevelType w:val="hybridMultilevel"/>
    <w:tmpl w:val="82DE0BC0"/>
    <w:lvl w:ilvl="0" w:tplc="05F4B0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8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c5sN9VIoGtJc5EmfbDGk9Marnw=" w:salt="YhXkQqZ3V0Kmdw8yGVF63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9D"/>
    <w:rsid w:val="000111CB"/>
    <w:rsid w:val="00021261"/>
    <w:rsid w:val="0002757E"/>
    <w:rsid w:val="00050936"/>
    <w:rsid w:val="00050F0A"/>
    <w:rsid w:val="00060786"/>
    <w:rsid w:val="0007757D"/>
    <w:rsid w:val="0009303A"/>
    <w:rsid w:val="000A08CC"/>
    <w:rsid w:val="000B594E"/>
    <w:rsid w:val="000C4BBE"/>
    <w:rsid w:val="000C7712"/>
    <w:rsid w:val="000D7D06"/>
    <w:rsid w:val="000E09C0"/>
    <w:rsid w:val="000E0E6A"/>
    <w:rsid w:val="000E1384"/>
    <w:rsid w:val="000F7A3B"/>
    <w:rsid w:val="00120F81"/>
    <w:rsid w:val="00122947"/>
    <w:rsid w:val="00122A37"/>
    <w:rsid w:val="00122E9E"/>
    <w:rsid w:val="001234AC"/>
    <w:rsid w:val="001357DE"/>
    <w:rsid w:val="001667B1"/>
    <w:rsid w:val="001A2C8C"/>
    <w:rsid w:val="001D2BFF"/>
    <w:rsid w:val="001D7B48"/>
    <w:rsid w:val="001E3EF7"/>
    <w:rsid w:val="001E5E6D"/>
    <w:rsid w:val="001F0D5C"/>
    <w:rsid w:val="002075C1"/>
    <w:rsid w:val="00207672"/>
    <w:rsid w:val="00213D26"/>
    <w:rsid w:val="00215022"/>
    <w:rsid w:val="00220B74"/>
    <w:rsid w:val="00234F7C"/>
    <w:rsid w:val="00244EBC"/>
    <w:rsid w:val="0025013F"/>
    <w:rsid w:val="00251522"/>
    <w:rsid w:val="00253745"/>
    <w:rsid w:val="0028460C"/>
    <w:rsid w:val="00287BEB"/>
    <w:rsid w:val="002A2FC5"/>
    <w:rsid w:val="002A7773"/>
    <w:rsid w:val="002D126E"/>
    <w:rsid w:val="002F4208"/>
    <w:rsid w:val="003125F8"/>
    <w:rsid w:val="00322D93"/>
    <w:rsid w:val="0033019B"/>
    <w:rsid w:val="00333709"/>
    <w:rsid w:val="00333C78"/>
    <w:rsid w:val="00346B21"/>
    <w:rsid w:val="00352F09"/>
    <w:rsid w:val="00353CCE"/>
    <w:rsid w:val="003770E9"/>
    <w:rsid w:val="003809EF"/>
    <w:rsid w:val="003869F0"/>
    <w:rsid w:val="003B0445"/>
    <w:rsid w:val="003D12A5"/>
    <w:rsid w:val="003D2B12"/>
    <w:rsid w:val="003F270B"/>
    <w:rsid w:val="003F4958"/>
    <w:rsid w:val="00403316"/>
    <w:rsid w:val="00422DBA"/>
    <w:rsid w:val="0042646F"/>
    <w:rsid w:val="004279E3"/>
    <w:rsid w:val="00454158"/>
    <w:rsid w:val="004620D1"/>
    <w:rsid w:val="00473292"/>
    <w:rsid w:val="004A01B3"/>
    <w:rsid w:val="004A088B"/>
    <w:rsid w:val="004A72F4"/>
    <w:rsid w:val="004B1A29"/>
    <w:rsid w:val="004B719E"/>
    <w:rsid w:val="0051361A"/>
    <w:rsid w:val="00520593"/>
    <w:rsid w:val="00524F44"/>
    <w:rsid w:val="0053623C"/>
    <w:rsid w:val="00566572"/>
    <w:rsid w:val="00573CA3"/>
    <w:rsid w:val="00587B2B"/>
    <w:rsid w:val="0059438E"/>
    <w:rsid w:val="005C16AD"/>
    <w:rsid w:val="005E2B5D"/>
    <w:rsid w:val="00605CB6"/>
    <w:rsid w:val="00610CFD"/>
    <w:rsid w:val="0062685D"/>
    <w:rsid w:val="00673AAC"/>
    <w:rsid w:val="00674271"/>
    <w:rsid w:val="00696CDD"/>
    <w:rsid w:val="006E7D4F"/>
    <w:rsid w:val="007013BF"/>
    <w:rsid w:val="00713CFE"/>
    <w:rsid w:val="00725275"/>
    <w:rsid w:val="00730F36"/>
    <w:rsid w:val="00737E87"/>
    <w:rsid w:val="00744AF4"/>
    <w:rsid w:val="0076004E"/>
    <w:rsid w:val="00771A33"/>
    <w:rsid w:val="00771BCD"/>
    <w:rsid w:val="00775AC9"/>
    <w:rsid w:val="007901DA"/>
    <w:rsid w:val="007A1771"/>
    <w:rsid w:val="007D569D"/>
    <w:rsid w:val="00822810"/>
    <w:rsid w:val="008633F8"/>
    <w:rsid w:val="008A2CFF"/>
    <w:rsid w:val="008A50F9"/>
    <w:rsid w:val="008A5987"/>
    <w:rsid w:val="008B7682"/>
    <w:rsid w:val="008C7FC6"/>
    <w:rsid w:val="008F621C"/>
    <w:rsid w:val="009011C6"/>
    <w:rsid w:val="00913AA5"/>
    <w:rsid w:val="00926567"/>
    <w:rsid w:val="009514E5"/>
    <w:rsid w:val="00982444"/>
    <w:rsid w:val="009B7DAA"/>
    <w:rsid w:val="009C1156"/>
    <w:rsid w:val="009D0C31"/>
    <w:rsid w:val="009D51F4"/>
    <w:rsid w:val="009D588F"/>
    <w:rsid w:val="009E36CA"/>
    <w:rsid w:val="00A02CB8"/>
    <w:rsid w:val="00A166A9"/>
    <w:rsid w:val="00A54564"/>
    <w:rsid w:val="00A9083C"/>
    <w:rsid w:val="00A91D18"/>
    <w:rsid w:val="00A96FAD"/>
    <w:rsid w:val="00AA74B3"/>
    <w:rsid w:val="00AC1224"/>
    <w:rsid w:val="00AC61F8"/>
    <w:rsid w:val="00B040B6"/>
    <w:rsid w:val="00B47F96"/>
    <w:rsid w:val="00B5571A"/>
    <w:rsid w:val="00B569A0"/>
    <w:rsid w:val="00BA497B"/>
    <w:rsid w:val="00BB7884"/>
    <w:rsid w:val="00BB7E33"/>
    <w:rsid w:val="00BD3FD3"/>
    <w:rsid w:val="00BE664D"/>
    <w:rsid w:val="00C06ACA"/>
    <w:rsid w:val="00C24190"/>
    <w:rsid w:val="00C45893"/>
    <w:rsid w:val="00C51C24"/>
    <w:rsid w:val="00C6768C"/>
    <w:rsid w:val="00C77F5A"/>
    <w:rsid w:val="00CC31F4"/>
    <w:rsid w:val="00CD1A77"/>
    <w:rsid w:val="00CE2784"/>
    <w:rsid w:val="00CF097B"/>
    <w:rsid w:val="00D21957"/>
    <w:rsid w:val="00D435D0"/>
    <w:rsid w:val="00D44086"/>
    <w:rsid w:val="00D66E26"/>
    <w:rsid w:val="00D75BED"/>
    <w:rsid w:val="00DC1215"/>
    <w:rsid w:val="00DD09FE"/>
    <w:rsid w:val="00DE658E"/>
    <w:rsid w:val="00DF0A2A"/>
    <w:rsid w:val="00DF63DD"/>
    <w:rsid w:val="00E00B34"/>
    <w:rsid w:val="00E14567"/>
    <w:rsid w:val="00E214A4"/>
    <w:rsid w:val="00E36A26"/>
    <w:rsid w:val="00E53585"/>
    <w:rsid w:val="00E7753E"/>
    <w:rsid w:val="00E776E7"/>
    <w:rsid w:val="00E80C9F"/>
    <w:rsid w:val="00E8134D"/>
    <w:rsid w:val="00E95327"/>
    <w:rsid w:val="00EA547E"/>
    <w:rsid w:val="00EB7DFB"/>
    <w:rsid w:val="00EC16E0"/>
    <w:rsid w:val="00EE1142"/>
    <w:rsid w:val="00EE7F30"/>
    <w:rsid w:val="00F234BF"/>
    <w:rsid w:val="00F256DB"/>
    <w:rsid w:val="00F66BB8"/>
    <w:rsid w:val="00F77FBE"/>
    <w:rsid w:val="00FA3EC3"/>
    <w:rsid w:val="00FD68C7"/>
    <w:rsid w:val="00FD6F9C"/>
    <w:rsid w:val="00FE0F7A"/>
    <w:rsid w:val="00FE2E72"/>
    <w:rsid w:val="00FE5CB5"/>
    <w:rsid w:val="00FF1182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Palatino-Bold" w:hAnsi="Palatino-Bold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1080"/>
      </w:tabs>
      <w:ind w:left="0" w:firstLine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after="120"/>
      <w:ind w:left="2160" w:hanging="216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520" w:hanging="360"/>
    </w:pPr>
    <w:rPr>
      <w:b/>
      <w:bCs/>
    </w:rPr>
  </w:style>
  <w:style w:type="paragraph" w:styleId="BodyTextIndent2">
    <w:name w:val="Body Text Indent 2"/>
    <w:basedOn w:val="Normal"/>
    <w:pPr>
      <w:ind w:left="2520" w:hanging="360"/>
      <w:jc w:val="both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720"/>
      <w:jc w:val="both"/>
    </w:pPr>
    <w:rPr>
      <w:szCs w:val="20"/>
    </w:rPr>
  </w:style>
  <w:style w:type="paragraph" w:customStyle="1" w:styleId="Default">
    <w:name w:val="Default"/>
    <w:rsid w:val="008A2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A2CFF"/>
    <w:rPr>
      <w:rFonts w:cs="Times New Roman"/>
      <w:color w:val="auto"/>
    </w:rPr>
  </w:style>
  <w:style w:type="paragraph" w:styleId="BalloonText">
    <w:name w:val="Balloon Text"/>
    <w:basedOn w:val="Normal"/>
    <w:semiHidden/>
    <w:rsid w:val="00FF118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77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BE"/>
    <w:rPr>
      <w:sz w:val="20"/>
      <w:szCs w:val="20"/>
    </w:rPr>
  </w:style>
  <w:style w:type="character" w:customStyle="1" w:styleId="CommentTextChar">
    <w:name w:val="Comment Text Char"/>
    <w:link w:val="CommentText"/>
    <w:rsid w:val="00F77F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FBE"/>
    <w:rPr>
      <w:b/>
      <w:bCs/>
    </w:rPr>
  </w:style>
  <w:style w:type="character" w:customStyle="1" w:styleId="CommentSubjectChar">
    <w:name w:val="Comment Subject Char"/>
    <w:link w:val="CommentSubject"/>
    <w:rsid w:val="00F77FB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77F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Palatino-Bold" w:hAnsi="Palatino-Bold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1080"/>
      </w:tabs>
      <w:ind w:left="0" w:firstLine="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after="120"/>
      <w:ind w:left="2160" w:hanging="216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520" w:hanging="360"/>
    </w:pPr>
    <w:rPr>
      <w:b/>
      <w:bCs/>
    </w:rPr>
  </w:style>
  <w:style w:type="paragraph" w:styleId="BodyTextIndent2">
    <w:name w:val="Body Text Indent 2"/>
    <w:basedOn w:val="Normal"/>
    <w:pPr>
      <w:ind w:left="2520" w:hanging="360"/>
      <w:jc w:val="both"/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440" w:hanging="720"/>
      <w:jc w:val="both"/>
    </w:pPr>
    <w:rPr>
      <w:szCs w:val="20"/>
    </w:rPr>
  </w:style>
  <w:style w:type="paragraph" w:customStyle="1" w:styleId="Default">
    <w:name w:val="Default"/>
    <w:rsid w:val="008A2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8A2CFF"/>
    <w:rPr>
      <w:rFonts w:cs="Times New Roman"/>
      <w:color w:val="auto"/>
    </w:rPr>
  </w:style>
  <w:style w:type="paragraph" w:styleId="BalloonText">
    <w:name w:val="Balloon Text"/>
    <w:basedOn w:val="Normal"/>
    <w:semiHidden/>
    <w:rsid w:val="00FF118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77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BE"/>
    <w:rPr>
      <w:sz w:val="20"/>
      <w:szCs w:val="20"/>
    </w:rPr>
  </w:style>
  <w:style w:type="character" w:customStyle="1" w:styleId="CommentTextChar">
    <w:name w:val="Comment Text Char"/>
    <w:link w:val="CommentText"/>
    <w:rsid w:val="00F77F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FBE"/>
    <w:rPr>
      <w:b/>
      <w:bCs/>
    </w:rPr>
  </w:style>
  <w:style w:type="character" w:customStyle="1" w:styleId="CommentSubjectChar">
    <w:name w:val="Comment Subject Char"/>
    <w:link w:val="CommentSubject"/>
    <w:rsid w:val="00F77FB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77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dominica-regist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minica%20Control%20Documents\CDMSC%20-%20Marine%20Safety%20Circulars\01%20Circula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539D-7522-4DD2-86AB-91CACCF9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Circular Template</Template>
  <TotalTime>34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Dominica</vt:lpstr>
    </vt:vector>
  </TitlesOfParts>
  <Company/>
  <LinksUpToDate>false</LinksUpToDate>
  <CharactersWithSpaces>3990</CharactersWithSpaces>
  <SharedDoc>false</SharedDoc>
  <HLinks>
    <vt:vector size="12" baseType="variant"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mailto:technical@dominica-registry.com</vt:lpwstr>
      </vt:variant>
      <vt:variant>
        <vt:lpwstr/>
      </vt:variant>
      <vt:variant>
        <vt:i4>3276884</vt:i4>
      </vt:variant>
      <vt:variant>
        <vt:i4>6</vt:i4>
      </vt:variant>
      <vt:variant>
        <vt:i4>0</vt:i4>
      </vt:variant>
      <vt:variant>
        <vt:i4>5</vt:i4>
      </vt:variant>
      <vt:variant>
        <vt:lpwstr>mailto:technical@dominica-registry.com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Dominica</dc:title>
  <dc:subject/>
  <dc:creator>Andrew Pottel</dc:creator>
  <cp:keywords/>
  <cp:lastModifiedBy>Andrew Pottel</cp:lastModifiedBy>
  <cp:revision>8</cp:revision>
  <cp:lastPrinted>2013-12-06T16:45:00Z</cp:lastPrinted>
  <dcterms:created xsi:type="dcterms:W3CDTF">2013-11-01T15:48:00Z</dcterms:created>
  <dcterms:modified xsi:type="dcterms:W3CDTF">2013-12-06T16:58:00Z</dcterms:modified>
</cp:coreProperties>
</file>